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CED7" w14:textId="77777777" w:rsidR="00653824" w:rsidRDefault="00653824" w:rsidP="00FA5708"/>
    <w:p w14:paraId="7F69C853" w14:textId="56E4F17E" w:rsidR="00A60B65" w:rsidRPr="0096416B" w:rsidRDefault="00A60B65" w:rsidP="00EE23F5">
      <w:pPr>
        <w:pBdr>
          <w:bottom w:val="single" w:sz="8" w:space="1" w:color="5CC9E3"/>
        </w:pBdr>
        <w:spacing w:before="60" w:after="60"/>
        <w:rPr>
          <w:b/>
          <w:sz w:val="36"/>
        </w:rPr>
      </w:pPr>
      <w:r w:rsidRPr="0096416B">
        <w:rPr>
          <w:b/>
          <w:sz w:val="36"/>
        </w:rPr>
        <w:t>SOCIAL SERVICES AND WELL-BEING (WALES) ACT</w:t>
      </w:r>
      <w:r w:rsidR="004F2376">
        <w:rPr>
          <w:b/>
          <w:sz w:val="36"/>
        </w:rPr>
        <w:t xml:space="preserve"> 2014</w:t>
      </w:r>
    </w:p>
    <w:p w14:paraId="1837058B" w14:textId="77777777" w:rsidR="00A60B65" w:rsidRPr="0096416B" w:rsidRDefault="000A19E3" w:rsidP="00FA5708">
      <w:pPr>
        <w:spacing w:before="60" w:after="60"/>
        <w:rPr>
          <w:b/>
          <w:sz w:val="36"/>
        </w:rPr>
      </w:pPr>
      <w:r>
        <w:rPr>
          <w:b/>
          <w:sz w:val="36"/>
        </w:rPr>
        <w:t>HANDOUT</w:t>
      </w:r>
    </w:p>
    <w:p w14:paraId="11DC5155" w14:textId="77777777" w:rsidR="00653824" w:rsidRDefault="00653824" w:rsidP="00FA5708"/>
    <w:p w14:paraId="4C28E752" w14:textId="56F0B23B" w:rsidR="00270704" w:rsidRPr="00764700" w:rsidRDefault="00270704" w:rsidP="00FA5708">
      <w:pPr>
        <w:pStyle w:val="Heading2"/>
        <w:ind w:left="576" w:hanging="576"/>
        <w:rPr>
          <w:rFonts w:eastAsia="Frutiger-Light"/>
          <w:color w:val="5CC9E3"/>
          <w:sz w:val="40"/>
          <w:szCs w:val="40"/>
        </w:rPr>
      </w:pPr>
      <w:r>
        <w:rPr>
          <w:rFonts w:eastAsia="Frutiger-Light"/>
          <w:color w:val="5CC9E3"/>
          <w:sz w:val="40"/>
          <w:szCs w:val="40"/>
        </w:rPr>
        <w:t>Adult P</w:t>
      </w:r>
      <w:r w:rsidRPr="00270704">
        <w:rPr>
          <w:rFonts w:eastAsia="Frutiger-Light"/>
          <w:color w:val="5CC9E3"/>
          <w:sz w:val="40"/>
          <w:szCs w:val="40"/>
        </w:rPr>
        <w:t xml:space="preserve">rotection and </w:t>
      </w:r>
      <w:r>
        <w:rPr>
          <w:rFonts w:eastAsia="Frutiger-Light"/>
          <w:color w:val="5CC9E3"/>
          <w:sz w:val="40"/>
          <w:szCs w:val="40"/>
        </w:rPr>
        <w:t>S</w:t>
      </w:r>
      <w:r w:rsidRPr="00270704">
        <w:rPr>
          <w:rFonts w:eastAsia="Frutiger-Light"/>
          <w:color w:val="5CC9E3"/>
          <w:sz w:val="40"/>
          <w:szCs w:val="40"/>
        </w:rPr>
        <w:t>upport</w:t>
      </w:r>
      <w:r>
        <w:rPr>
          <w:rFonts w:eastAsia="Frutiger-Light"/>
          <w:color w:val="5CC9E3"/>
          <w:sz w:val="40"/>
          <w:szCs w:val="40"/>
        </w:rPr>
        <w:t xml:space="preserve"> O</w:t>
      </w:r>
      <w:r w:rsidRPr="00270704">
        <w:rPr>
          <w:rFonts w:eastAsia="Frutiger-Light"/>
          <w:color w:val="5CC9E3"/>
          <w:sz w:val="40"/>
          <w:szCs w:val="40"/>
        </w:rPr>
        <w:t>rders</w:t>
      </w:r>
      <w:r w:rsidR="00300649">
        <w:rPr>
          <w:rFonts w:eastAsia="Frutiger-Light"/>
          <w:color w:val="5CC9E3"/>
          <w:sz w:val="40"/>
          <w:szCs w:val="40"/>
        </w:rPr>
        <w:t xml:space="preserve"> (APSO</w:t>
      </w:r>
      <w:r w:rsidR="002F5574">
        <w:rPr>
          <w:rFonts w:eastAsia="Frutiger-Light"/>
          <w:color w:val="5CC9E3"/>
          <w:sz w:val="40"/>
          <w:szCs w:val="40"/>
        </w:rPr>
        <w:t>s</w:t>
      </w:r>
      <w:r w:rsidR="00300649">
        <w:rPr>
          <w:rFonts w:eastAsia="Frutiger-Light"/>
          <w:color w:val="5CC9E3"/>
          <w:sz w:val="40"/>
          <w:szCs w:val="40"/>
        </w:rPr>
        <w:t>)</w:t>
      </w:r>
    </w:p>
    <w:p w14:paraId="583F0C87" w14:textId="397F29CF" w:rsidR="00E354E3" w:rsidRPr="00764700" w:rsidRDefault="00A1416B" w:rsidP="00FA5708">
      <w:pPr>
        <w:pStyle w:val="Heading2"/>
        <w:ind w:left="576" w:hanging="576"/>
        <w:rPr>
          <w:rFonts w:eastAsia="Frutiger-Light"/>
          <w:color w:val="5CC9E3"/>
          <w:sz w:val="40"/>
          <w:szCs w:val="40"/>
        </w:rPr>
      </w:pPr>
      <w:r>
        <w:rPr>
          <w:rFonts w:eastAsia="Frutiger-Light"/>
          <w:color w:val="5CC9E3"/>
          <w:sz w:val="40"/>
          <w:szCs w:val="40"/>
        </w:rPr>
        <w:t>Coercive control</w:t>
      </w:r>
    </w:p>
    <w:p w14:paraId="3D726B5B" w14:textId="158F1B86" w:rsidR="00A1416B" w:rsidRDefault="00A1416B" w:rsidP="00A1416B">
      <w:r w:rsidRPr="00B41B6F">
        <w:t>New government guidance on coercion and control (Home Office</w:t>
      </w:r>
      <w:r w:rsidR="0017155D">
        <w:t>,</w:t>
      </w:r>
      <w:r w:rsidRPr="00B41B6F">
        <w:t xml:space="preserve"> 2015) gives the following definitions:</w:t>
      </w:r>
    </w:p>
    <w:p w14:paraId="698D620A" w14:textId="77777777" w:rsidR="00A1416B" w:rsidRPr="00B41B6F" w:rsidRDefault="00A1416B" w:rsidP="00A1416B">
      <w:pPr>
        <w:pStyle w:val="ListParagraph"/>
        <w:ind w:left="360"/>
      </w:pPr>
    </w:p>
    <w:p w14:paraId="6FF70D9F" w14:textId="77777777" w:rsidR="00A1416B" w:rsidRPr="00A1416B" w:rsidRDefault="00A1416B" w:rsidP="00A1416B">
      <w:pPr>
        <w:rPr>
          <w:i/>
        </w:rPr>
      </w:pPr>
      <w:r w:rsidRPr="00A1416B">
        <w:rPr>
          <w:b/>
          <w:i/>
        </w:rPr>
        <w:t>Controlling behaviour</w:t>
      </w:r>
      <w:r w:rsidRPr="00A1416B">
        <w:rPr>
          <w:i/>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6ABF67CB" w14:textId="77777777" w:rsidR="00A1416B" w:rsidRDefault="00A1416B" w:rsidP="00A1416B">
      <w:pPr>
        <w:contextualSpacing/>
        <w:jc w:val="both"/>
      </w:pPr>
      <w:r w:rsidRPr="00A1416B">
        <w:rPr>
          <w:b/>
          <w:i/>
        </w:rPr>
        <w:t>Coercive behaviour</w:t>
      </w:r>
      <w:r w:rsidRPr="004645ED">
        <w:rPr>
          <w:i/>
        </w:rPr>
        <w:t xml:space="preserve"> is: a continuing act or a pattern of acts of assault, threats, humiliation and intimidation or other abuse that is used to harm, punish, or frighten their victim.</w:t>
      </w:r>
      <w:r>
        <w:rPr>
          <w:i/>
        </w:rPr>
        <w:t xml:space="preserve"> </w:t>
      </w:r>
      <w:r w:rsidRPr="0078107F">
        <w:t>(page 22)</w:t>
      </w:r>
    </w:p>
    <w:p w14:paraId="4BFDBBAD" w14:textId="77777777" w:rsidR="00A1416B" w:rsidRPr="004645ED" w:rsidRDefault="00A1416B" w:rsidP="00A1416B">
      <w:pPr>
        <w:ind w:left="360"/>
        <w:contextualSpacing/>
        <w:jc w:val="both"/>
        <w:rPr>
          <w:i/>
        </w:rPr>
      </w:pPr>
    </w:p>
    <w:p w14:paraId="6015A906" w14:textId="77777777" w:rsidR="00A1416B" w:rsidRPr="004645ED" w:rsidRDefault="00A1416B" w:rsidP="00A1416B">
      <w:pPr>
        <w:contextualSpacing/>
        <w:jc w:val="both"/>
        <w:rPr>
          <w:i/>
        </w:rPr>
      </w:pPr>
      <w:r w:rsidRPr="004645ED">
        <w:rPr>
          <w:i/>
        </w:rPr>
        <w:t xml:space="preserve">Such behaviours might include:   </w:t>
      </w:r>
    </w:p>
    <w:p w14:paraId="3A022877" w14:textId="77777777" w:rsidR="00A1416B" w:rsidRDefault="00A1416B" w:rsidP="000C2A1F">
      <w:pPr>
        <w:pStyle w:val="ListParagraph"/>
        <w:numPr>
          <w:ilvl w:val="0"/>
          <w:numId w:val="9"/>
        </w:numPr>
        <w:jc w:val="both"/>
        <w:rPr>
          <w:i/>
        </w:rPr>
      </w:pPr>
      <w:r w:rsidRPr="00373DFF">
        <w:rPr>
          <w:i/>
        </w:rPr>
        <w:t>isolating a person f</w:t>
      </w:r>
      <w:r>
        <w:rPr>
          <w:i/>
        </w:rPr>
        <w:t>rom their friends and family;</w:t>
      </w:r>
    </w:p>
    <w:p w14:paraId="7FD73C89" w14:textId="77777777" w:rsidR="00A1416B" w:rsidRDefault="00A1416B" w:rsidP="000C2A1F">
      <w:pPr>
        <w:pStyle w:val="ListParagraph"/>
        <w:numPr>
          <w:ilvl w:val="0"/>
          <w:numId w:val="9"/>
        </w:numPr>
        <w:jc w:val="both"/>
        <w:rPr>
          <w:i/>
        </w:rPr>
      </w:pPr>
      <w:r w:rsidRPr="00373DFF">
        <w:rPr>
          <w:i/>
        </w:rPr>
        <w:t>deprivi</w:t>
      </w:r>
      <w:r>
        <w:rPr>
          <w:i/>
        </w:rPr>
        <w:t xml:space="preserve">ng them of their basic needs; </w:t>
      </w:r>
    </w:p>
    <w:p w14:paraId="7F3A55C4" w14:textId="77777777" w:rsidR="00A1416B" w:rsidRDefault="00A1416B" w:rsidP="000C2A1F">
      <w:pPr>
        <w:pStyle w:val="ListParagraph"/>
        <w:numPr>
          <w:ilvl w:val="0"/>
          <w:numId w:val="9"/>
        </w:numPr>
        <w:jc w:val="both"/>
        <w:rPr>
          <w:i/>
        </w:rPr>
      </w:pPr>
      <w:r>
        <w:rPr>
          <w:i/>
        </w:rPr>
        <w:t xml:space="preserve">monitoring their time; </w:t>
      </w:r>
    </w:p>
    <w:p w14:paraId="7BF94619" w14:textId="77777777" w:rsidR="00A1416B" w:rsidRDefault="00A1416B" w:rsidP="000C2A1F">
      <w:pPr>
        <w:pStyle w:val="ListParagraph"/>
        <w:numPr>
          <w:ilvl w:val="0"/>
          <w:numId w:val="9"/>
        </w:numPr>
        <w:jc w:val="both"/>
        <w:rPr>
          <w:i/>
        </w:rPr>
      </w:pPr>
      <w:r w:rsidRPr="00373DFF">
        <w:rPr>
          <w:i/>
        </w:rPr>
        <w:t>monitoring a person via online communica</w:t>
      </w:r>
      <w:r>
        <w:rPr>
          <w:i/>
        </w:rPr>
        <w:t xml:space="preserve">tion tools or using spyware; </w:t>
      </w:r>
    </w:p>
    <w:p w14:paraId="25031DB4" w14:textId="77777777" w:rsidR="00A1416B" w:rsidRDefault="00A1416B" w:rsidP="000C2A1F">
      <w:pPr>
        <w:pStyle w:val="ListParagraph"/>
        <w:numPr>
          <w:ilvl w:val="0"/>
          <w:numId w:val="9"/>
        </w:numPr>
        <w:jc w:val="both"/>
        <w:rPr>
          <w:i/>
        </w:rPr>
      </w:pPr>
      <w:r>
        <w:rPr>
          <w:i/>
        </w:rPr>
        <w:t>t</w:t>
      </w:r>
      <w:r w:rsidRPr="00373DFF">
        <w:rPr>
          <w:i/>
        </w:rPr>
        <w:t xml:space="preserve">aking control over aspects of their everyday life, such as where they can go, who they can see, what to </w:t>
      </w:r>
      <w:r>
        <w:rPr>
          <w:i/>
        </w:rPr>
        <w:t xml:space="preserve">wear and when they can sleep; </w:t>
      </w:r>
    </w:p>
    <w:p w14:paraId="0397362C" w14:textId="77777777" w:rsidR="00A1416B" w:rsidRDefault="00A1416B" w:rsidP="000C2A1F">
      <w:pPr>
        <w:pStyle w:val="ListParagraph"/>
        <w:numPr>
          <w:ilvl w:val="0"/>
          <w:numId w:val="9"/>
        </w:numPr>
        <w:jc w:val="both"/>
        <w:rPr>
          <w:i/>
        </w:rPr>
      </w:pPr>
      <w:r w:rsidRPr="00373DFF">
        <w:rPr>
          <w:i/>
        </w:rPr>
        <w:t>depriving them of access to support services, such as specialist</w:t>
      </w:r>
      <w:r>
        <w:rPr>
          <w:i/>
        </w:rPr>
        <w:t xml:space="preserve"> support or medical services; </w:t>
      </w:r>
    </w:p>
    <w:p w14:paraId="5B05D6CD" w14:textId="77777777" w:rsidR="00A1416B" w:rsidRDefault="00A1416B" w:rsidP="000C2A1F">
      <w:pPr>
        <w:pStyle w:val="ListParagraph"/>
        <w:numPr>
          <w:ilvl w:val="0"/>
          <w:numId w:val="9"/>
        </w:numPr>
        <w:jc w:val="both"/>
        <w:rPr>
          <w:i/>
        </w:rPr>
      </w:pPr>
      <w:r w:rsidRPr="00373DFF">
        <w:rPr>
          <w:i/>
        </w:rPr>
        <w:t xml:space="preserve">repeatedly putting them down such as telling them they are worthless; </w:t>
      </w:r>
    </w:p>
    <w:p w14:paraId="0A0E65BF" w14:textId="77777777" w:rsidR="00A1416B" w:rsidRDefault="00A1416B" w:rsidP="000C2A1F">
      <w:pPr>
        <w:pStyle w:val="ListParagraph"/>
        <w:numPr>
          <w:ilvl w:val="0"/>
          <w:numId w:val="9"/>
        </w:numPr>
        <w:jc w:val="both"/>
        <w:rPr>
          <w:i/>
        </w:rPr>
      </w:pPr>
      <w:r w:rsidRPr="00373DFF">
        <w:rPr>
          <w:i/>
        </w:rPr>
        <w:t>enforcing rules and activity which humiliate, degra</w:t>
      </w:r>
      <w:r>
        <w:rPr>
          <w:i/>
        </w:rPr>
        <w:t>de or dehumanise the victim;</w:t>
      </w:r>
    </w:p>
    <w:p w14:paraId="6561F9BF" w14:textId="77777777" w:rsidR="00A1416B" w:rsidRDefault="00A1416B" w:rsidP="000C2A1F">
      <w:pPr>
        <w:pStyle w:val="ListParagraph"/>
        <w:numPr>
          <w:ilvl w:val="0"/>
          <w:numId w:val="9"/>
        </w:numPr>
        <w:jc w:val="both"/>
        <w:rPr>
          <w:i/>
        </w:rPr>
      </w:pPr>
      <w:r w:rsidRPr="00373DFF">
        <w:rPr>
          <w:i/>
        </w:rPr>
        <w:t>forcing the victim to take part in criminal activity such as shoplifting, neglect or abuse of children to encourage self-blame and preve</w:t>
      </w:r>
      <w:r>
        <w:rPr>
          <w:i/>
        </w:rPr>
        <w:t>nt disclosure to authorities;</w:t>
      </w:r>
    </w:p>
    <w:p w14:paraId="7AB6F86A" w14:textId="77777777" w:rsidR="00A1416B" w:rsidRDefault="00A1416B" w:rsidP="000C2A1F">
      <w:pPr>
        <w:pStyle w:val="ListParagraph"/>
        <w:numPr>
          <w:ilvl w:val="0"/>
          <w:numId w:val="9"/>
        </w:numPr>
        <w:jc w:val="both"/>
        <w:rPr>
          <w:i/>
        </w:rPr>
      </w:pPr>
      <w:r w:rsidRPr="00373DFF">
        <w:rPr>
          <w:i/>
        </w:rPr>
        <w:t>financial abuse including control of finances, such as only allowing a</w:t>
      </w:r>
      <w:r>
        <w:rPr>
          <w:i/>
        </w:rPr>
        <w:t xml:space="preserve"> person a punitive allowance; </w:t>
      </w:r>
    </w:p>
    <w:p w14:paraId="5864E727" w14:textId="77777777" w:rsidR="00A1416B" w:rsidRDefault="00A1416B" w:rsidP="000C2A1F">
      <w:pPr>
        <w:pStyle w:val="ListParagraph"/>
        <w:numPr>
          <w:ilvl w:val="0"/>
          <w:numId w:val="9"/>
        </w:numPr>
        <w:jc w:val="both"/>
        <w:rPr>
          <w:i/>
        </w:rPr>
      </w:pPr>
      <w:r>
        <w:rPr>
          <w:i/>
        </w:rPr>
        <w:t xml:space="preserve">threats to hurt or kill; </w:t>
      </w:r>
    </w:p>
    <w:p w14:paraId="3204ABB2" w14:textId="77777777" w:rsidR="00A1416B" w:rsidRDefault="00A1416B" w:rsidP="000C2A1F">
      <w:pPr>
        <w:pStyle w:val="ListParagraph"/>
        <w:numPr>
          <w:ilvl w:val="0"/>
          <w:numId w:val="9"/>
        </w:numPr>
        <w:jc w:val="both"/>
        <w:rPr>
          <w:i/>
        </w:rPr>
      </w:pPr>
      <w:r>
        <w:rPr>
          <w:i/>
        </w:rPr>
        <w:t xml:space="preserve">threats to a child; </w:t>
      </w:r>
    </w:p>
    <w:p w14:paraId="783B8E0C" w14:textId="77777777" w:rsidR="00A1416B" w:rsidRDefault="00A1416B" w:rsidP="000C2A1F">
      <w:pPr>
        <w:pStyle w:val="ListParagraph"/>
        <w:numPr>
          <w:ilvl w:val="0"/>
          <w:numId w:val="9"/>
        </w:numPr>
        <w:jc w:val="both"/>
        <w:rPr>
          <w:i/>
        </w:rPr>
      </w:pPr>
      <w:r w:rsidRPr="00373DFF">
        <w:rPr>
          <w:i/>
        </w:rPr>
        <w:t>threats to reveal or publish private information (e.g. t</w:t>
      </w:r>
      <w:r>
        <w:rPr>
          <w:i/>
        </w:rPr>
        <w:t>hreatening to ‘out’ someone);</w:t>
      </w:r>
    </w:p>
    <w:p w14:paraId="1FC56004" w14:textId="77777777" w:rsidR="00A1416B" w:rsidRDefault="00A1416B" w:rsidP="000C2A1F">
      <w:pPr>
        <w:pStyle w:val="ListParagraph"/>
        <w:numPr>
          <w:ilvl w:val="0"/>
          <w:numId w:val="9"/>
        </w:numPr>
        <w:jc w:val="both"/>
        <w:rPr>
          <w:i/>
        </w:rPr>
      </w:pPr>
      <w:r>
        <w:rPr>
          <w:i/>
        </w:rPr>
        <w:t xml:space="preserve">assault; </w:t>
      </w:r>
    </w:p>
    <w:p w14:paraId="72014474" w14:textId="77777777" w:rsidR="00A1416B" w:rsidRDefault="00A1416B" w:rsidP="000C2A1F">
      <w:pPr>
        <w:pStyle w:val="ListParagraph"/>
        <w:numPr>
          <w:ilvl w:val="0"/>
          <w:numId w:val="9"/>
        </w:numPr>
        <w:jc w:val="both"/>
        <w:rPr>
          <w:i/>
        </w:rPr>
      </w:pPr>
      <w:r w:rsidRPr="00373DFF">
        <w:rPr>
          <w:i/>
        </w:rPr>
        <w:t>criminal damage (such as dest</w:t>
      </w:r>
      <w:r>
        <w:rPr>
          <w:i/>
        </w:rPr>
        <w:t xml:space="preserve">ruction of household goods); </w:t>
      </w:r>
    </w:p>
    <w:p w14:paraId="35AC0F87" w14:textId="77777777" w:rsidR="00A1416B" w:rsidRDefault="00A1416B" w:rsidP="000C2A1F">
      <w:pPr>
        <w:pStyle w:val="ListParagraph"/>
        <w:numPr>
          <w:ilvl w:val="0"/>
          <w:numId w:val="9"/>
        </w:numPr>
        <w:jc w:val="both"/>
        <w:rPr>
          <w:i/>
        </w:rPr>
      </w:pPr>
      <w:r>
        <w:rPr>
          <w:i/>
        </w:rPr>
        <w:t xml:space="preserve">rape; </w:t>
      </w:r>
    </w:p>
    <w:p w14:paraId="24DC6B69" w14:textId="77777777" w:rsidR="00A1416B" w:rsidRPr="00373DFF" w:rsidRDefault="00A1416B" w:rsidP="000C2A1F">
      <w:pPr>
        <w:pStyle w:val="ListParagraph"/>
        <w:numPr>
          <w:ilvl w:val="0"/>
          <w:numId w:val="9"/>
        </w:numPr>
        <w:jc w:val="both"/>
        <w:rPr>
          <w:i/>
        </w:rPr>
      </w:pPr>
      <w:r w:rsidRPr="00373DFF">
        <w:rPr>
          <w:i/>
        </w:rPr>
        <w:lastRenderedPageBreak/>
        <w:t>preventing a person from having access to transport or from working</w:t>
      </w:r>
      <w:r>
        <w:rPr>
          <w:i/>
        </w:rPr>
        <w:t>.</w:t>
      </w:r>
    </w:p>
    <w:p w14:paraId="37116BEB" w14:textId="77777777" w:rsidR="00A1416B" w:rsidRDefault="00A1416B" w:rsidP="00A1416B">
      <w:r w:rsidRPr="00A1416B">
        <w:rPr>
          <w:i/>
        </w:rPr>
        <w:t>Controlling or coercive behaviour does not only happen in th</w:t>
      </w:r>
      <w:r>
        <w:rPr>
          <w:i/>
        </w:rPr>
        <w:t xml:space="preserve">e home, the victim can </w:t>
      </w:r>
      <w:r w:rsidRPr="00A1416B">
        <w:rPr>
          <w:i/>
        </w:rPr>
        <w:t xml:space="preserve">be monitored by phone or social media from a distance and can be made to fear violence. </w:t>
      </w:r>
      <w:r w:rsidRPr="00A1416B">
        <w:t>(page 4)</w:t>
      </w:r>
    </w:p>
    <w:p w14:paraId="2C2D2743" w14:textId="77777777" w:rsidR="0017155D" w:rsidRPr="00A1416B" w:rsidRDefault="0017155D" w:rsidP="00A1416B">
      <w:pPr>
        <w:rPr>
          <w:i/>
        </w:rPr>
      </w:pPr>
    </w:p>
    <w:p w14:paraId="0AA365F7" w14:textId="77777777" w:rsidR="00A1416B" w:rsidRPr="00A1416B" w:rsidRDefault="00A1416B" w:rsidP="00A1416B">
      <w:r w:rsidRPr="00A1416B">
        <w:t>The Home Office guidance sets out considerations about coercion and control. It is affected by:</w:t>
      </w:r>
    </w:p>
    <w:p w14:paraId="398B7BFD" w14:textId="64C04EED" w:rsidR="00A1416B" w:rsidRDefault="00A1416B" w:rsidP="000C2A1F">
      <w:pPr>
        <w:pStyle w:val="ListParagraph"/>
        <w:numPr>
          <w:ilvl w:val="0"/>
          <w:numId w:val="8"/>
        </w:numPr>
        <w:jc w:val="both"/>
      </w:pPr>
      <w:r w:rsidRPr="00B41B6F">
        <w:t>Gender – controlling and coercive behaviour is primarily a form of violence against</w:t>
      </w:r>
      <w:r>
        <w:t xml:space="preserve"> women and girls; gender inequality in society can contribute to difficulties in accessing support</w:t>
      </w:r>
      <w:r w:rsidR="0017155D">
        <w:t>.</w:t>
      </w:r>
    </w:p>
    <w:p w14:paraId="372068C9" w14:textId="37217533" w:rsidR="00A1416B" w:rsidRPr="004645ED" w:rsidRDefault="00A1416B" w:rsidP="000C2A1F">
      <w:pPr>
        <w:pStyle w:val="ListParagraph"/>
        <w:numPr>
          <w:ilvl w:val="0"/>
          <w:numId w:val="8"/>
        </w:numPr>
        <w:jc w:val="both"/>
      </w:pPr>
      <w:r w:rsidRPr="004645ED">
        <w:t>Impairment</w:t>
      </w:r>
      <w:r>
        <w:t xml:space="preserve"> </w:t>
      </w:r>
      <w:r w:rsidR="0017155D" w:rsidRPr="00B41B6F">
        <w:t>–</w:t>
      </w:r>
      <w:r>
        <w:t xml:space="preserve"> </w:t>
      </w:r>
      <w:r w:rsidR="0017155D">
        <w:t>v</w:t>
      </w:r>
      <w:r w:rsidR="0017155D" w:rsidRPr="00CA564B">
        <w:t xml:space="preserve">ictims </w:t>
      </w:r>
      <w:r w:rsidRPr="00CA564B">
        <w:t>may face additional forms of violence related to any impairment</w:t>
      </w:r>
      <w:r w:rsidR="0017155D">
        <w:t>.</w:t>
      </w:r>
    </w:p>
    <w:p w14:paraId="7160B29F" w14:textId="1999F27B" w:rsidR="00A1416B" w:rsidRPr="004645ED" w:rsidRDefault="00A1416B" w:rsidP="000C2A1F">
      <w:pPr>
        <w:pStyle w:val="ListParagraph"/>
        <w:numPr>
          <w:ilvl w:val="0"/>
          <w:numId w:val="8"/>
        </w:numPr>
        <w:jc w:val="both"/>
      </w:pPr>
      <w:r w:rsidRPr="004645ED">
        <w:t xml:space="preserve">Ethnicity </w:t>
      </w:r>
      <w:r w:rsidR="0017155D" w:rsidRPr="00B41B6F">
        <w:t>–</w:t>
      </w:r>
      <w:r w:rsidRPr="004645ED">
        <w:t xml:space="preserve"> including a distrust of the police, concerns about racism, language barriers, concerns about family finding out, or fear of rejection by the wider community</w:t>
      </w:r>
      <w:r w:rsidR="0017155D">
        <w:t>.</w:t>
      </w:r>
    </w:p>
    <w:p w14:paraId="25B1622B" w14:textId="00CF7228" w:rsidR="00A1416B" w:rsidRPr="004645ED" w:rsidRDefault="00A1416B" w:rsidP="000C2A1F">
      <w:pPr>
        <w:pStyle w:val="ListParagraph"/>
        <w:numPr>
          <w:ilvl w:val="0"/>
          <w:numId w:val="8"/>
        </w:numPr>
        <w:jc w:val="both"/>
      </w:pPr>
      <w:r w:rsidRPr="004645ED">
        <w:t>Immigration status</w:t>
      </w:r>
      <w:r>
        <w:t xml:space="preserve"> – additional barriers, fear of coming forward</w:t>
      </w:r>
      <w:r w:rsidR="0017155D">
        <w:t>.</w:t>
      </w:r>
    </w:p>
    <w:p w14:paraId="210FCE62" w14:textId="4C4792BA" w:rsidR="00A1416B" w:rsidRPr="004645ED" w:rsidRDefault="00A1416B" w:rsidP="000C2A1F">
      <w:pPr>
        <w:pStyle w:val="ListParagraph"/>
        <w:numPr>
          <w:ilvl w:val="0"/>
          <w:numId w:val="8"/>
        </w:numPr>
        <w:jc w:val="both"/>
      </w:pPr>
      <w:r w:rsidRPr="004645ED">
        <w:t>Fear of losing children</w:t>
      </w:r>
      <w:r w:rsidR="0017155D">
        <w:t>.</w:t>
      </w:r>
    </w:p>
    <w:p w14:paraId="766D595E" w14:textId="41F82111" w:rsidR="00A1416B" w:rsidRPr="004645ED" w:rsidRDefault="00A1416B" w:rsidP="000C2A1F">
      <w:pPr>
        <w:pStyle w:val="ListParagraph"/>
        <w:numPr>
          <w:ilvl w:val="0"/>
          <w:numId w:val="8"/>
        </w:numPr>
        <w:jc w:val="both"/>
      </w:pPr>
      <w:r w:rsidRPr="004645ED">
        <w:t xml:space="preserve">Financial abuse </w:t>
      </w:r>
      <w:r w:rsidR="0017155D" w:rsidRPr="00B41B6F">
        <w:t>–</w:t>
      </w:r>
      <w:r w:rsidR="0017155D">
        <w:t>f</w:t>
      </w:r>
      <w:r w:rsidR="0017155D" w:rsidRPr="004645ED">
        <w:t xml:space="preserve">or </w:t>
      </w:r>
      <w:r w:rsidRPr="004645ED">
        <w:t>example, older women who have not worked and who do not have a pension in their own right may be even more financially reliant on abusive partners. Those who are being cared for by a relative may face barriers to reporting financial abuse by that relative.</w:t>
      </w:r>
    </w:p>
    <w:p w14:paraId="5C0A6E32" w14:textId="50E4C58F" w:rsidR="00A1416B" w:rsidRPr="004645ED" w:rsidRDefault="00A1416B" w:rsidP="000C2A1F">
      <w:pPr>
        <w:pStyle w:val="ListParagraph"/>
        <w:numPr>
          <w:ilvl w:val="0"/>
          <w:numId w:val="8"/>
        </w:numPr>
        <w:jc w:val="both"/>
      </w:pPr>
      <w:r w:rsidRPr="004645ED">
        <w:t>Drugs and alcohol</w:t>
      </w:r>
      <w:r>
        <w:t xml:space="preserve"> </w:t>
      </w:r>
      <w:r w:rsidR="0017155D" w:rsidRPr="00B41B6F">
        <w:t>–</w:t>
      </w:r>
      <w:r w:rsidRPr="004645ED">
        <w:t xml:space="preserve"> </w:t>
      </w:r>
      <w:r w:rsidR="0017155D">
        <w:t>v</w:t>
      </w:r>
      <w:r w:rsidR="0017155D" w:rsidRPr="004645ED">
        <w:t xml:space="preserve">ictims </w:t>
      </w:r>
      <w:r w:rsidRPr="004645ED">
        <w:t>may also use alcohol or drugs as a coping mechanism, or to block out what is happening to them. Some victims may also be forced into drug taking by the perpetrator in order to exert control over them.</w:t>
      </w:r>
    </w:p>
    <w:p w14:paraId="17326888" w14:textId="73A5731E" w:rsidR="00A1416B" w:rsidRPr="004645ED" w:rsidRDefault="00A1416B" w:rsidP="000C2A1F">
      <w:pPr>
        <w:pStyle w:val="ListParagraph"/>
        <w:numPr>
          <w:ilvl w:val="0"/>
          <w:numId w:val="8"/>
        </w:numPr>
        <w:jc w:val="both"/>
      </w:pPr>
      <w:r w:rsidRPr="004645ED">
        <w:t xml:space="preserve">Lesbian, gay, bisexual </w:t>
      </w:r>
      <w:r w:rsidR="0017155D">
        <w:t>and</w:t>
      </w:r>
      <w:r w:rsidR="0017155D" w:rsidRPr="004645ED">
        <w:t xml:space="preserve"> </w:t>
      </w:r>
      <w:r w:rsidRPr="004645ED">
        <w:t>transgender (LGB&amp;T) individuals</w:t>
      </w:r>
      <w:r>
        <w:t xml:space="preserve"> </w:t>
      </w:r>
      <w:r w:rsidR="0017155D" w:rsidRPr="00B41B6F">
        <w:t>–</w:t>
      </w:r>
      <w:r>
        <w:t xml:space="preserve"> </w:t>
      </w:r>
      <w:r w:rsidRPr="00CA564B">
        <w:t>may also experience specific forms of abuse that may act as barriers to seeking help, such as threats to reveal sexual orientation to family, or others</w:t>
      </w:r>
      <w:r w:rsidR="0017155D">
        <w:t>.</w:t>
      </w:r>
    </w:p>
    <w:p w14:paraId="03E0E042" w14:textId="2D3E3DDC" w:rsidR="00A1416B" w:rsidRPr="004645ED" w:rsidRDefault="00A1416B" w:rsidP="000C2A1F">
      <w:pPr>
        <w:pStyle w:val="ListParagraph"/>
        <w:numPr>
          <w:ilvl w:val="0"/>
          <w:numId w:val="8"/>
        </w:numPr>
        <w:jc w:val="both"/>
      </w:pPr>
      <w:r w:rsidRPr="004645ED">
        <w:t xml:space="preserve">Forced Marriage </w:t>
      </w:r>
      <w:r w:rsidR="0017155D" w:rsidRPr="00B41B6F">
        <w:t>–</w:t>
      </w:r>
      <w:r w:rsidRPr="004645ED">
        <w:t xml:space="preserve"> Forcing someone to marry against their will is a criminal offence under the Anti-social Behaviour Crime and Policing Act 2014</w:t>
      </w:r>
      <w:r w:rsidR="0017155D">
        <w:t>.</w:t>
      </w:r>
    </w:p>
    <w:p w14:paraId="6507F5F4" w14:textId="38DAB2B4" w:rsidR="00A1416B" w:rsidRPr="004645ED" w:rsidRDefault="00A1416B" w:rsidP="000C2A1F">
      <w:pPr>
        <w:pStyle w:val="ListParagraph"/>
        <w:numPr>
          <w:ilvl w:val="0"/>
          <w:numId w:val="8"/>
        </w:numPr>
        <w:jc w:val="both"/>
      </w:pPr>
      <w:r w:rsidRPr="004645ED">
        <w:t>“So</w:t>
      </w:r>
      <w:r w:rsidR="0017155D">
        <w:t>-</w:t>
      </w:r>
      <w:r w:rsidRPr="004645ED">
        <w:t>called” “</w:t>
      </w:r>
      <w:r w:rsidR="0017155D">
        <w:t>h</w:t>
      </w:r>
      <w:r w:rsidRPr="004645ED">
        <w:t>onour</w:t>
      </w:r>
      <w:r w:rsidR="0017155D">
        <w:t xml:space="preserve"> b</w:t>
      </w:r>
      <w:r w:rsidR="0017155D" w:rsidRPr="004645ED">
        <w:t>ased</w:t>
      </w:r>
      <w:r w:rsidRPr="004645ED">
        <w:t xml:space="preserve">” </w:t>
      </w:r>
      <w:r w:rsidR="0017155D">
        <w:t>v</w:t>
      </w:r>
      <w:r w:rsidRPr="004645ED">
        <w:t>iolence/</w:t>
      </w:r>
      <w:r w:rsidR="0017155D">
        <w:t>a</w:t>
      </w:r>
      <w:r w:rsidRPr="004645ED">
        <w:t>buse</w:t>
      </w:r>
      <w:r w:rsidR="0017155D">
        <w:t>.</w:t>
      </w:r>
    </w:p>
    <w:p w14:paraId="7D737165" w14:textId="4589B9F0" w:rsidR="00A1416B" w:rsidRPr="004645ED" w:rsidRDefault="00A1416B" w:rsidP="000C2A1F">
      <w:pPr>
        <w:pStyle w:val="ListParagraph"/>
        <w:numPr>
          <w:ilvl w:val="0"/>
          <w:numId w:val="8"/>
        </w:numPr>
        <w:jc w:val="both"/>
      </w:pPr>
      <w:r w:rsidRPr="004645ED">
        <w:t xml:space="preserve">Age </w:t>
      </w:r>
      <w:r w:rsidR="0017155D" w:rsidRPr="00B41B6F">
        <w:t>–</w:t>
      </w:r>
      <w:r w:rsidRPr="004645ED">
        <w:t xml:space="preserve"> </w:t>
      </w:r>
      <w:r w:rsidR="0017155D">
        <w:t>a</w:t>
      </w:r>
      <w:r w:rsidR="0017155D" w:rsidRPr="004645ED">
        <w:t xml:space="preserve">n </w:t>
      </w:r>
      <w:r w:rsidRPr="004645ED">
        <w:t>older person may be the victim of elder abuse, this may include: financial, emotional, psychological, sexual physical or neglect.</w:t>
      </w:r>
    </w:p>
    <w:p w14:paraId="50D23523" w14:textId="08F4474E" w:rsidR="00A1416B" w:rsidRPr="00865A2B" w:rsidRDefault="00A1416B" w:rsidP="000C2A1F">
      <w:pPr>
        <w:pStyle w:val="FacilitatorNotesNumberList"/>
        <w:numPr>
          <w:ilvl w:val="0"/>
          <w:numId w:val="8"/>
        </w:numPr>
      </w:pPr>
      <w:r w:rsidRPr="00865A2B">
        <w:t xml:space="preserve">Adolescent to parent violence and abuse (APVA) </w:t>
      </w:r>
      <w:r w:rsidR="0017155D" w:rsidRPr="00B41B6F">
        <w:t>–</w:t>
      </w:r>
      <w:r w:rsidRPr="00865A2B">
        <w:t xml:space="preserve"> </w:t>
      </w:r>
      <w:r w:rsidR="0017155D">
        <w:t>t</w:t>
      </w:r>
      <w:r w:rsidR="0017155D" w:rsidRPr="00865A2B">
        <w:t xml:space="preserve">here </w:t>
      </w:r>
      <w:r w:rsidRPr="00865A2B">
        <w:t>is currently no legal definition of adolescent to parent violence and abuse. However, it is increasingly recognised as a form of domestic violence and abuse</w:t>
      </w:r>
      <w:r>
        <w:t>.</w:t>
      </w:r>
    </w:p>
    <w:p w14:paraId="40885B97" w14:textId="77777777" w:rsidR="00A1416B" w:rsidRPr="00F920DA" w:rsidRDefault="00A1416B" w:rsidP="00F920DA">
      <w:pPr>
        <w:spacing w:after="120"/>
        <w:rPr>
          <w:szCs w:val="36"/>
        </w:rPr>
      </w:pPr>
      <w:r>
        <w:t>It is important to consider issues of migration as part of consideration of coercion and control. The Home Office guidance states that:</w:t>
      </w:r>
    </w:p>
    <w:p w14:paraId="4A2E93F6" w14:textId="77777777" w:rsidR="00A1416B" w:rsidRDefault="00A1416B" w:rsidP="00A1416B">
      <w:pPr>
        <w:spacing w:after="120"/>
      </w:pPr>
      <w:r w:rsidRPr="00A1416B">
        <w:rPr>
          <w:i/>
          <w:szCs w:val="36"/>
        </w:rPr>
        <w:t xml:space="preserve">Those subject to immigration control may face additional barriers when attempting to escape domestic abuse. These circumstances may make them more reluctant to come forward and report abuse. Such circumstances may also be exploited by perpetrators to exert control over victims, for example, by threatening to inform immigration authorities, or to no longer support their stay. </w:t>
      </w:r>
      <w:r>
        <w:t>(page 7)</w:t>
      </w:r>
    </w:p>
    <w:p w14:paraId="74BC436B" w14:textId="77777777" w:rsidR="004F2376" w:rsidRDefault="004F2376" w:rsidP="00A1416B">
      <w:pPr>
        <w:contextualSpacing/>
        <w:rPr>
          <w:szCs w:val="36"/>
        </w:rPr>
      </w:pPr>
    </w:p>
    <w:p w14:paraId="3D08E69C" w14:textId="3387ADCA" w:rsidR="00A1416B" w:rsidRDefault="00A1416B" w:rsidP="00A1416B">
      <w:pPr>
        <w:contextualSpacing/>
        <w:rPr>
          <w:szCs w:val="36"/>
        </w:rPr>
      </w:pPr>
      <w:bookmarkStart w:id="0" w:name="_GoBack"/>
      <w:bookmarkEnd w:id="0"/>
      <w:r w:rsidRPr="00484AED">
        <w:rPr>
          <w:szCs w:val="36"/>
        </w:rPr>
        <w:lastRenderedPageBreak/>
        <w:t xml:space="preserve">People who are held in modern slavery are </w:t>
      </w:r>
      <w:r>
        <w:rPr>
          <w:szCs w:val="36"/>
        </w:rPr>
        <w:t>often isolated psychologically and/ or physically. This can include</w:t>
      </w:r>
      <w:r w:rsidR="00E617A4">
        <w:rPr>
          <w:szCs w:val="36"/>
        </w:rPr>
        <w:t xml:space="preserve"> through removal of documents </w:t>
      </w:r>
      <w:r>
        <w:rPr>
          <w:szCs w:val="36"/>
        </w:rPr>
        <w:t xml:space="preserve">and threats. </w:t>
      </w:r>
      <w:r w:rsidRPr="00484AED">
        <w:rPr>
          <w:szCs w:val="36"/>
        </w:rPr>
        <w:t xml:space="preserve">A lack of cultural awareness of the victim’s </w:t>
      </w:r>
      <w:r w:rsidR="00E617A4">
        <w:rPr>
          <w:szCs w:val="36"/>
        </w:rPr>
        <w:t xml:space="preserve">or perpetrator’s </w:t>
      </w:r>
      <w:r w:rsidRPr="00484AED">
        <w:rPr>
          <w:szCs w:val="36"/>
        </w:rPr>
        <w:t>background means</w:t>
      </w:r>
      <w:r>
        <w:rPr>
          <w:szCs w:val="36"/>
        </w:rPr>
        <w:t xml:space="preserve"> that it can be difficult to identify indicators of exploitation. Victims are often </w:t>
      </w:r>
      <w:r w:rsidR="00E617A4">
        <w:rPr>
          <w:szCs w:val="36"/>
        </w:rPr>
        <w:t xml:space="preserve">more </w:t>
      </w:r>
      <w:r>
        <w:rPr>
          <w:szCs w:val="36"/>
        </w:rPr>
        <w:t>vulnerable due to health, limited resources or dependencies. Victims often have a fear of authorities. It can also be difficult to distinguish between victims and perpetrators as perpetrators may have been victims themselves (Home Office</w:t>
      </w:r>
      <w:r w:rsidR="0017155D">
        <w:rPr>
          <w:szCs w:val="36"/>
        </w:rPr>
        <w:t>,</w:t>
      </w:r>
      <w:r>
        <w:rPr>
          <w:szCs w:val="36"/>
        </w:rPr>
        <w:t xml:space="preserve"> 2016).</w:t>
      </w:r>
    </w:p>
    <w:p w14:paraId="2C012994" w14:textId="77777777" w:rsidR="00A1416B" w:rsidRDefault="00A1416B" w:rsidP="00A1416B">
      <w:pPr>
        <w:contextualSpacing/>
        <w:rPr>
          <w:szCs w:val="24"/>
        </w:rPr>
      </w:pPr>
    </w:p>
    <w:p w14:paraId="096DED5B" w14:textId="77777777" w:rsidR="00572336" w:rsidRDefault="00572336" w:rsidP="00027920">
      <w:pPr>
        <w:pStyle w:val="Numberlist"/>
        <w:numPr>
          <w:ilvl w:val="0"/>
          <w:numId w:val="0"/>
        </w:numPr>
        <w:tabs>
          <w:tab w:val="left" w:pos="426"/>
        </w:tabs>
        <w:spacing w:after="60"/>
        <w:ind w:left="360" w:hanging="360"/>
      </w:pPr>
      <w:r>
        <w:t>This handout can act as a reference for you in your practice.</w:t>
      </w:r>
    </w:p>
    <w:sectPr w:rsidR="00572336" w:rsidSect="002F5574">
      <w:headerReference w:type="default" r:id="rId12"/>
      <w:footerReference w:type="default" r:id="rId13"/>
      <w:headerReference w:type="first" r:id="rId14"/>
      <w:footerReference w:type="first" r:id="rId15"/>
      <w:pgSz w:w="11906" w:h="16838"/>
      <w:pgMar w:top="2242"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E8C05" w14:textId="77777777" w:rsidR="00F776BF" w:rsidRDefault="00F776BF" w:rsidP="00A60B65">
      <w:r>
        <w:separator/>
      </w:r>
    </w:p>
  </w:endnote>
  <w:endnote w:type="continuationSeparator" w:id="0">
    <w:p w14:paraId="69831B1E" w14:textId="77777777" w:rsidR="00F776BF" w:rsidRDefault="00F776BF"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6222"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4F2376">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ADCF"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4F2376">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FE99" w14:textId="77777777" w:rsidR="00F776BF" w:rsidRDefault="00F776BF" w:rsidP="00A60B65">
      <w:r>
        <w:separator/>
      </w:r>
    </w:p>
  </w:footnote>
  <w:footnote w:type="continuationSeparator" w:id="0">
    <w:p w14:paraId="24C01A3D" w14:textId="77777777" w:rsidR="00F776BF" w:rsidRDefault="00F776BF"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2EDC"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56FFDCF" wp14:editId="6468D6DF">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2475" w14:textId="77777777" w:rsidR="000C5390" w:rsidRDefault="003525D3">
    <w:pPr>
      <w:pStyle w:val="Header"/>
    </w:pPr>
    <w:r w:rsidRPr="003525D3">
      <w:rPr>
        <w:noProof/>
        <w:lang w:eastAsia="en-GB"/>
      </w:rPr>
      <w:drawing>
        <wp:anchor distT="0" distB="0" distL="114300" distR="114300" simplePos="0" relativeHeight="251656192" behindDoc="1" locked="0" layoutInCell="1" allowOverlap="1" wp14:anchorId="25081FC6" wp14:editId="132D966E">
          <wp:simplePos x="0" y="0"/>
          <wp:positionH relativeFrom="column">
            <wp:posOffset>3596005</wp:posOffset>
          </wp:positionH>
          <wp:positionV relativeFrom="paragraph">
            <wp:posOffset>-219710</wp:posOffset>
          </wp:positionV>
          <wp:extent cx="2143760" cy="791845"/>
          <wp:effectExtent l="0" t="0" r="8890" b="8255"/>
          <wp:wrapTight wrapText="bothSides">
            <wp:wrapPolygon edited="0">
              <wp:start x="0" y="0"/>
              <wp:lineTo x="0" y="21306"/>
              <wp:lineTo x="21498" y="21306"/>
              <wp:lineTo x="21498"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58240" behindDoc="1" locked="0" layoutInCell="1" allowOverlap="1" wp14:anchorId="7C0B65D5" wp14:editId="5C4E8820">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7"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79D0A814"/>
    <w:lvl w:ilvl="0" w:tplc="9452A85A">
      <w:start w:val="1"/>
      <w:numFmt w:val="bullet"/>
      <w:pStyle w:val="bullet"/>
      <w:lvlText w:val=""/>
      <w:lvlJc w:val="left"/>
      <w:pPr>
        <w:ind w:left="927" w:hanging="360"/>
      </w:pPr>
      <w:rPr>
        <w:rFonts w:ascii="Symbol" w:hAnsi="Symbol" w:hint="default"/>
        <w:b w:val="0"/>
        <w:i w:val="0"/>
        <w:color w:val="00B0F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26C224B1"/>
    <w:multiLevelType w:val="hybridMultilevel"/>
    <w:tmpl w:val="FFE82C4A"/>
    <w:lvl w:ilvl="0" w:tplc="91560F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F565AA"/>
    <w:multiLevelType w:val="hybridMultilevel"/>
    <w:tmpl w:val="1D581AA0"/>
    <w:lvl w:ilvl="0" w:tplc="D80A958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1"/>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7920"/>
    <w:rsid w:val="0003002E"/>
    <w:rsid w:val="0005205D"/>
    <w:rsid w:val="00067FE8"/>
    <w:rsid w:val="00072969"/>
    <w:rsid w:val="000879C6"/>
    <w:rsid w:val="00090064"/>
    <w:rsid w:val="000A19E3"/>
    <w:rsid w:val="000A3CCE"/>
    <w:rsid w:val="000C2A1F"/>
    <w:rsid w:val="000C307D"/>
    <w:rsid w:val="000C33A7"/>
    <w:rsid w:val="000C5390"/>
    <w:rsid w:val="000D6C98"/>
    <w:rsid w:val="000E6DE0"/>
    <w:rsid w:val="000F3CA9"/>
    <w:rsid w:val="001055F0"/>
    <w:rsid w:val="00106A7F"/>
    <w:rsid w:val="001145D1"/>
    <w:rsid w:val="00115EE1"/>
    <w:rsid w:val="0011648B"/>
    <w:rsid w:val="00130FC5"/>
    <w:rsid w:val="00132179"/>
    <w:rsid w:val="001414A8"/>
    <w:rsid w:val="00142149"/>
    <w:rsid w:val="0017155D"/>
    <w:rsid w:val="00176539"/>
    <w:rsid w:val="00187803"/>
    <w:rsid w:val="001D57E5"/>
    <w:rsid w:val="001F009A"/>
    <w:rsid w:val="002053AB"/>
    <w:rsid w:val="00213728"/>
    <w:rsid w:val="00225372"/>
    <w:rsid w:val="00226AF3"/>
    <w:rsid w:val="00255D2A"/>
    <w:rsid w:val="0026224C"/>
    <w:rsid w:val="00270704"/>
    <w:rsid w:val="00273E57"/>
    <w:rsid w:val="002867EA"/>
    <w:rsid w:val="0029188E"/>
    <w:rsid w:val="002B1F32"/>
    <w:rsid w:val="002D6D1A"/>
    <w:rsid w:val="002D6DF1"/>
    <w:rsid w:val="002F5574"/>
    <w:rsid w:val="00300649"/>
    <w:rsid w:val="00305DD8"/>
    <w:rsid w:val="0031794B"/>
    <w:rsid w:val="00334F8B"/>
    <w:rsid w:val="003525D3"/>
    <w:rsid w:val="00374A84"/>
    <w:rsid w:val="00383BC9"/>
    <w:rsid w:val="00385223"/>
    <w:rsid w:val="00390B73"/>
    <w:rsid w:val="003927DD"/>
    <w:rsid w:val="00396052"/>
    <w:rsid w:val="00396DF0"/>
    <w:rsid w:val="00396F60"/>
    <w:rsid w:val="003A61EC"/>
    <w:rsid w:val="003D376B"/>
    <w:rsid w:val="003F0362"/>
    <w:rsid w:val="003F0D13"/>
    <w:rsid w:val="003F3341"/>
    <w:rsid w:val="003F3873"/>
    <w:rsid w:val="003F5A4C"/>
    <w:rsid w:val="003F61A3"/>
    <w:rsid w:val="00422104"/>
    <w:rsid w:val="0046294F"/>
    <w:rsid w:val="00471C00"/>
    <w:rsid w:val="004871C7"/>
    <w:rsid w:val="00490356"/>
    <w:rsid w:val="004906B1"/>
    <w:rsid w:val="004A66D6"/>
    <w:rsid w:val="004B3C1B"/>
    <w:rsid w:val="004B7B1B"/>
    <w:rsid w:val="004F2376"/>
    <w:rsid w:val="00520F37"/>
    <w:rsid w:val="00523FA3"/>
    <w:rsid w:val="00532992"/>
    <w:rsid w:val="00540719"/>
    <w:rsid w:val="00546569"/>
    <w:rsid w:val="005575D8"/>
    <w:rsid w:val="00572336"/>
    <w:rsid w:val="00582A3D"/>
    <w:rsid w:val="005D358F"/>
    <w:rsid w:val="005F70A4"/>
    <w:rsid w:val="005F7E45"/>
    <w:rsid w:val="00620310"/>
    <w:rsid w:val="00624350"/>
    <w:rsid w:val="00653824"/>
    <w:rsid w:val="00694756"/>
    <w:rsid w:val="006B55EC"/>
    <w:rsid w:val="006E387E"/>
    <w:rsid w:val="006E4991"/>
    <w:rsid w:val="00711F77"/>
    <w:rsid w:val="0071567C"/>
    <w:rsid w:val="0076052D"/>
    <w:rsid w:val="00764700"/>
    <w:rsid w:val="007A0A66"/>
    <w:rsid w:val="007A2579"/>
    <w:rsid w:val="00803080"/>
    <w:rsid w:val="00810563"/>
    <w:rsid w:val="00842CC1"/>
    <w:rsid w:val="00876BD4"/>
    <w:rsid w:val="008B57DE"/>
    <w:rsid w:val="008C5079"/>
    <w:rsid w:val="008D505C"/>
    <w:rsid w:val="008D6D0E"/>
    <w:rsid w:val="008E7123"/>
    <w:rsid w:val="0090739C"/>
    <w:rsid w:val="009143F1"/>
    <w:rsid w:val="00922DAE"/>
    <w:rsid w:val="009357F5"/>
    <w:rsid w:val="00956064"/>
    <w:rsid w:val="0095660B"/>
    <w:rsid w:val="0096416B"/>
    <w:rsid w:val="00966A78"/>
    <w:rsid w:val="009A013C"/>
    <w:rsid w:val="009D069C"/>
    <w:rsid w:val="00A11033"/>
    <w:rsid w:val="00A1416B"/>
    <w:rsid w:val="00A2075A"/>
    <w:rsid w:val="00A45A79"/>
    <w:rsid w:val="00A516DF"/>
    <w:rsid w:val="00A60B65"/>
    <w:rsid w:val="00AF4D6F"/>
    <w:rsid w:val="00AF58A5"/>
    <w:rsid w:val="00B013D2"/>
    <w:rsid w:val="00B42501"/>
    <w:rsid w:val="00B657B2"/>
    <w:rsid w:val="00B66EEA"/>
    <w:rsid w:val="00B70B7B"/>
    <w:rsid w:val="00BC5279"/>
    <w:rsid w:val="00BC5D28"/>
    <w:rsid w:val="00BC68AD"/>
    <w:rsid w:val="00BD1CE1"/>
    <w:rsid w:val="00BD47C9"/>
    <w:rsid w:val="00BF3F9A"/>
    <w:rsid w:val="00C06D15"/>
    <w:rsid w:val="00C33CB5"/>
    <w:rsid w:val="00C37528"/>
    <w:rsid w:val="00C56A02"/>
    <w:rsid w:val="00C57032"/>
    <w:rsid w:val="00C65408"/>
    <w:rsid w:val="00CC56C9"/>
    <w:rsid w:val="00D01478"/>
    <w:rsid w:val="00D20A4F"/>
    <w:rsid w:val="00D24A65"/>
    <w:rsid w:val="00D25A0F"/>
    <w:rsid w:val="00D32A9B"/>
    <w:rsid w:val="00D53F01"/>
    <w:rsid w:val="00D76AFB"/>
    <w:rsid w:val="00D7779D"/>
    <w:rsid w:val="00D958F5"/>
    <w:rsid w:val="00DA4A6E"/>
    <w:rsid w:val="00DB23EF"/>
    <w:rsid w:val="00DC4B1A"/>
    <w:rsid w:val="00DE4ACB"/>
    <w:rsid w:val="00DF5592"/>
    <w:rsid w:val="00E001FD"/>
    <w:rsid w:val="00E16677"/>
    <w:rsid w:val="00E354E3"/>
    <w:rsid w:val="00E5345F"/>
    <w:rsid w:val="00E57E5D"/>
    <w:rsid w:val="00E617A4"/>
    <w:rsid w:val="00E70786"/>
    <w:rsid w:val="00E74299"/>
    <w:rsid w:val="00E91747"/>
    <w:rsid w:val="00E96BDC"/>
    <w:rsid w:val="00EB58AA"/>
    <w:rsid w:val="00EE23F5"/>
    <w:rsid w:val="00EE24DA"/>
    <w:rsid w:val="00F17682"/>
    <w:rsid w:val="00F366B1"/>
    <w:rsid w:val="00F776BF"/>
    <w:rsid w:val="00F920DA"/>
    <w:rsid w:val="00F97D0D"/>
    <w:rsid w:val="00FA0525"/>
    <w:rsid w:val="00FA15C4"/>
    <w:rsid w:val="00FA5708"/>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0703-7874-4440-8883-25C26CDE8C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B61976-AF9E-4606-89CC-70CEF93B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3E30CF-98FE-40C7-AFC7-1A431AD734CF}">
  <ds:schemaRefs>
    <ds:schemaRef ds:uri="http://schemas.microsoft.com/sharepoint/v3/contenttype/forms"/>
  </ds:schemaRefs>
</ds:datastoreItem>
</file>

<file path=customXml/itemProps4.xml><?xml version="1.0" encoding="utf-8"?>
<ds:datastoreItem xmlns:ds="http://schemas.openxmlformats.org/officeDocument/2006/customXml" ds:itemID="{36543DB5-2903-4A3B-B3D3-CF368160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Dartington Hall Trust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Rachel Pitman</cp:lastModifiedBy>
  <cp:revision>8</cp:revision>
  <cp:lastPrinted>2016-07-22T16:57:00Z</cp:lastPrinted>
  <dcterms:created xsi:type="dcterms:W3CDTF">2016-11-21T09:36:00Z</dcterms:created>
  <dcterms:modified xsi:type="dcterms:W3CDTF">2017-02-03T12:22:00Z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